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B5" w:rsidRPr="005163B5" w:rsidRDefault="005163B5" w:rsidP="005163B5">
      <w:pPr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B5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5163B5" w:rsidRPr="005163B5" w:rsidRDefault="005163B5" w:rsidP="005163B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B5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163B5" w:rsidRPr="005163B5" w:rsidRDefault="005163B5" w:rsidP="005163B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63B5" w:rsidRPr="005163B5" w:rsidRDefault="005163B5" w:rsidP="005163B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B5">
        <w:rPr>
          <w:rFonts w:ascii="Times New Roman" w:hAnsi="Times New Roman"/>
          <w:b/>
          <w:sz w:val="28"/>
          <w:szCs w:val="28"/>
        </w:rPr>
        <w:t>РЕШЕНИЕ</w:t>
      </w:r>
    </w:p>
    <w:p w:rsidR="005163B5" w:rsidRPr="005163B5" w:rsidRDefault="005163B5" w:rsidP="005163B5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127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сельского поселения «Хорошево»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3B5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5163B5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94 «О передаче осуществления части полномочий Администрации сельского поселения «Хорошево» Ржевского района по решению вопросов местного значения сельского поселения Администрации Ржевского района в 2017 году», Постановлением Администрации МО сельское поселение «Хорошево» Ржевского района Тверской области от 16.11.2015 г. № 119-1 "Об утверждении Положения о порядке подготовки и утверждения местных нормативов градостроительного проектирования сельского поселения «Хорошево» Ржевского района Тверской области", Постановлением Администрации МО сельское поселение «Хорошево» Ржевского района Тверской области от 01.04.2016 г. № 56 "О подготовке местных нормативов градостроительного проектирования сельского поселения «Хорошево»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3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3B5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163B5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5163B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«Хорошево» Ржевского района </w:t>
      </w:r>
      <w:r w:rsidRPr="005163B5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163B5">
        <w:t xml:space="preserve">       </w:t>
      </w:r>
      <w:r w:rsidRPr="005163B5">
        <w:rPr>
          <w:rFonts w:ascii="Times New Roman" w:hAnsi="Times New Roman"/>
          <w:sz w:val="24"/>
          <w:szCs w:val="24"/>
        </w:rPr>
        <w:t xml:space="preserve">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5163B5">
        <w:t xml:space="preserve"> (</w:t>
      </w:r>
      <w:r w:rsidRPr="005163B5">
        <w:rPr>
          <w:rFonts w:ascii="Times New Roman" w:hAnsi="Times New Roman"/>
          <w:sz w:val="24"/>
          <w:szCs w:val="24"/>
        </w:rPr>
        <w:t>http://fgis.economy.gov.ru).</w:t>
      </w:r>
    </w:p>
    <w:p w:rsidR="005163B5" w:rsidRPr="005163B5" w:rsidRDefault="005163B5" w:rsidP="005163B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163B5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5163B5" w:rsidRPr="005163B5" w:rsidRDefault="005163B5" w:rsidP="005163B5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163B5" w:rsidRDefault="00D9638A" w:rsidP="007E6A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E6A5D" w:rsidRDefault="007E6A5D" w:rsidP="007E6A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6A5D" w:rsidRDefault="007E6A5D" w:rsidP="007E6A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E6A5D" w:rsidRDefault="007E6A5D" w:rsidP="007E6A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7E6A5D" w:rsidRDefault="007E6A5D" w:rsidP="007E6A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127</w:t>
      </w:r>
    </w:p>
    <w:p w:rsidR="00D9638A" w:rsidRDefault="00D9638A" w:rsidP="007E6A5D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</w:t>
      </w:r>
      <w:r w:rsidR="00207165">
        <w:rPr>
          <w:rFonts w:ascii="Times New Roman" w:hAnsi="Times New Roman" w:cs="Times New Roman"/>
          <w:caps/>
          <w:sz w:val="40"/>
          <w:szCs w:val="40"/>
        </w:rPr>
        <w:t>ХОРОШЕВО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E547C3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207165">
              <w:rPr>
                <w:rFonts w:ascii="Times New Roman" w:hAnsi="Times New Roman"/>
                <w:sz w:val="28"/>
                <w:szCs w:val="28"/>
              </w:rPr>
              <w:t>Хорошево</w:t>
            </w:r>
            <w:r w:rsidR="0020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B33E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B33E4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7165">
        <w:rPr>
          <w:rFonts w:ascii="Times New Roman" w:hAnsi="Times New Roman" w:cs="Times New Roman"/>
          <w:sz w:val="28"/>
          <w:szCs w:val="28"/>
        </w:rPr>
        <w:t>Хорошево</w:t>
      </w:r>
      <w:r w:rsidR="002066B8">
        <w:rPr>
          <w:rFonts w:ascii="Times New Roman" w:hAnsi="Times New Roman" w:cs="Times New Roman"/>
          <w:sz w:val="28"/>
          <w:szCs w:val="28"/>
        </w:rPr>
        <w:t>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lastRenderedPageBreak/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</w:t>
      </w:r>
      <w:r w:rsidR="00207165">
        <w:rPr>
          <w:b/>
        </w:rPr>
        <w:t>Хорошево</w:t>
      </w:r>
      <w:r w:rsidR="002066B8">
        <w:rPr>
          <w:b/>
        </w:rPr>
        <w:t>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 xml:space="preserve">Общая площадь территории поселения составляет </w:t>
      </w:r>
      <w:r w:rsidR="00207165">
        <w:t>144</w:t>
      </w:r>
      <w:r w:rsidR="008A4AE8">
        <w:t>,</w:t>
      </w:r>
      <w:r w:rsidR="00E547C3">
        <w:t>7</w:t>
      </w:r>
      <w:r w:rsidR="002066B8">
        <w:t xml:space="preserve"> кв.км., численност</w:t>
      </w:r>
      <w:r w:rsidR="00207165">
        <w:t>ь населения на 01.01.2015 г. – 2</w:t>
      </w:r>
      <w:r w:rsidR="00E547C3">
        <w:t>3</w:t>
      </w:r>
      <w:r w:rsidR="00207165">
        <w:t>20</w:t>
      </w:r>
      <w:r w:rsidR="002066B8">
        <w:t xml:space="preserve"> человек. В границах</w:t>
      </w:r>
      <w:r w:rsidR="00E547C3">
        <w:t xml:space="preserve"> сельского поселения находятся </w:t>
      </w:r>
      <w:r w:rsidR="008A4AE8">
        <w:t>3</w:t>
      </w:r>
      <w:r w:rsidR="00E547C3">
        <w:t>8</w:t>
      </w:r>
      <w:r w:rsidR="002066B8">
        <w:t xml:space="preserve">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8A4AE8" w:rsidP="00207165">
            <w:pPr>
              <w:pStyle w:val="0"/>
              <w:ind w:firstLine="0"/>
              <w:jc w:val="left"/>
            </w:pPr>
            <w:r>
              <w:t>дер</w:t>
            </w:r>
            <w:r w:rsidR="002066B8">
              <w:t xml:space="preserve">. </w:t>
            </w:r>
            <w:r w:rsidR="00207165">
              <w:t>Хорошево</w:t>
            </w:r>
          </w:p>
        </w:tc>
        <w:tc>
          <w:tcPr>
            <w:tcW w:w="5493" w:type="dxa"/>
          </w:tcPr>
          <w:p w:rsidR="002066B8" w:rsidRPr="00473F81" w:rsidRDefault="008A4AE8" w:rsidP="00207165">
            <w:pPr>
              <w:pStyle w:val="0"/>
              <w:ind w:firstLine="0"/>
              <w:jc w:val="left"/>
            </w:pPr>
            <w:r>
              <w:t>дер</w:t>
            </w:r>
            <w:r w:rsidR="002066B8">
              <w:t xml:space="preserve">. </w:t>
            </w:r>
            <w:r w:rsidR="00207165">
              <w:t>Хорошево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E547C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Верхний Бор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Ковалево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Мнякино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Муравьево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7165" w:rsidP="00B73DE3">
            <w:pPr>
              <w:pStyle w:val="0"/>
              <w:ind w:firstLine="0"/>
              <w:jc w:val="left"/>
            </w:pPr>
            <w:r>
              <w:t>ж.-д. ст. Муравьево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Пеленичено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Пирютино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8A4AE8" w:rsidP="00B73DE3">
            <w:pPr>
              <w:pStyle w:val="0"/>
              <w:ind w:firstLine="0"/>
              <w:jc w:val="left"/>
            </w:pPr>
            <w:r>
              <w:t>дер</w:t>
            </w:r>
            <w:r w:rsidR="00747775">
              <w:t xml:space="preserve">. </w:t>
            </w:r>
            <w:r w:rsidR="00207165">
              <w:t>Санталово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207165" w:rsidP="00B73DE3">
            <w:pPr>
              <w:pStyle w:val="0"/>
              <w:ind w:firstLine="0"/>
              <w:jc w:val="left"/>
            </w:pPr>
            <w:r>
              <w:t>дер. Сосновка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Кокошкино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Брехово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Бродниково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Бургово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Волжское-Малахово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Есемово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Жуково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Костерево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Крутики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Рязанцево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Соколово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Соломино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Петуново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Абрамово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Бурмусово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Грешниково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Гришино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207165" w:rsidP="00B73DE3">
            <w:pPr>
              <w:pStyle w:val="0"/>
              <w:ind w:firstLine="0"/>
              <w:jc w:val="left"/>
            </w:pPr>
            <w:r>
              <w:t>пос</w:t>
            </w:r>
            <w:r w:rsidR="00CC3059">
              <w:t xml:space="preserve">. </w:t>
            </w:r>
            <w:r>
              <w:t>Заволжский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Зарубино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Знаменское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207165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>
              <w:t>Масленниково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Мончарово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Мужищево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207165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>
              <w:t>Нечаево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Почигаево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Р</w:t>
            </w:r>
            <w:r w:rsidR="00207165">
              <w:t>едькино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207165">
              <w:t>Тростино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Фед</w:t>
            </w:r>
            <w:r w:rsidR="00207165">
              <w:t>отово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lastRenderedPageBreak/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>Для предварительного определения потребной селитебной территории зоны малоэтажной жилой застройки в населенных пунктах 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</w:t>
      </w:r>
      <w:r w:rsidR="00452C99">
        <w:rPr>
          <w:rFonts w:ascii="Times New Roman" w:hAnsi="Times New Roman"/>
          <w:bCs/>
          <w:sz w:val="28"/>
          <w:szCs w:val="28"/>
        </w:rPr>
        <w:lastRenderedPageBreak/>
        <w:t xml:space="preserve">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</w:t>
      </w:r>
      <w:r w:rsidR="00DA1385">
        <w:rPr>
          <w:rFonts w:ascii="Times New Roman" w:hAnsi="Times New Roman"/>
          <w:bCs/>
          <w:sz w:val="28"/>
          <w:szCs w:val="28"/>
        </w:rPr>
        <w:lastRenderedPageBreak/>
        <w:t xml:space="preserve">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lastRenderedPageBreak/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</w:t>
      </w:r>
      <w:r>
        <w:lastRenderedPageBreak/>
        <w:t xml:space="preserve">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585CEB" w:rsidRDefault="00585CEB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E547C3" w:rsidRDefault="00E547C3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585CEB" w:rsidRP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lastRenderedPageBreak/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547C3" w:rsidRDefault="00E547C3" w:rsidP="009D474F">
      <w:pPr>
        <w:pStyle w:val="0"/>
        <w:ind w:firstLine="0"/>
        <w:rPr>
          <w:sz w:val="24"/>
          <w:szCs w:val="24"/>
        </w:rPr>
      </w:pPr>
    </w:p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lastRenderedPageBreak/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отвалов, шламонакопителей,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 xml:space="preserve"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</w:t>
      </w:r>
      <w:r w:rsidR="00423218">
        <w:rPr>
          <w:rFonts w:ascii="Times New Roman" w:hAnsi="Times New Roman"/>
          <w:sz w:val="28"/>
          <w:szCs w:val="28"/>
        </w:rPr>
        <w:lastRenderedPageBreak/>
        <w:t>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674502" w:rsidRDefault="00674502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lastRenderedPageBreak/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585CEB" w:rsidRDefault="00585CEB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</w:t>
      </w:r>
      <w:r>
        <w:rPr>
          <w:rFonts w:ascii="Times New Roman" w:hAnsi="Times New Roman"/>
          <w:sz w:val="28"/>
          <w:szCs w:val="28"/>
        </w:rPr>
        <w:lastRenderedPageBreak/>
        <w:t>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канализации населенных пунктов следует производить в соответствии с требованиями СНиП 2.04.01-85*, </w:t>
      </w:r>
      <w:r>
        <w:rPr>
          <w:rFonts w:ascii="Times New Roman" w:hAnsi="Times New Roman"/>
          <w:sz w:val="28"/>
          <w:szCs w:val="28"/>
        </w:rPr>
        <w:lastRenderedPageBreak/>
        <w:t>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</w:t>
      </w:r>
      <w:r>
        <w:rPr>
          <w:rFonts w:ascii="Times New Roman" w:hAnsi="Times New Roman"/>
          <w:sz w:val="28"/>
          <w:szCs w:val="28"/>
        </w:rPr>
        <w:lastRenderedPageBreak/>
        <w:t>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>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8B511A" w:rsidRDefault="008B511A" w:rsidP="00BA10AB">
      <w:pPr>
        <w:pStyle w:val="0"/>
        <w:ind w:left="675" w:firstLine="0"/>
        <w:jc w:val="right"/>
        <w:rPr>
          <w:sz w:val="24"/>
          <w:szCs w:val="24"/>
        </w:rPr>
      </w:pP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 xml:space="preserve">ремонта подвижного состава: автотранспортные предприятия, их </w:t>
      </w:r>
      <w:r w:rsidR="00413F6B">
        <w:rPr>
          <w:rFonts w:ascii="Times New Roman" w:hAnsi="Times New Roman"/>
          <w:sz w:val="28"/>
          <w:szCs w:val="28"/>
        </w:rPr>
        <w:lastRenderedPageBreak/>
        <w:t>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lastRenderedPageBreak/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</w:t>
      </w: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</w:t>
      </w: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 xml:space="preserve">СП 4.13130.2013 «Системы </w:t>
      </w:r>
      <w:r w:rsidR="00786135">
        <w:rPr>
          <w:rFonts w:ascii="Times New Roman" w:hAnsi="Times New Roman"/>
          <w:bCs/>
          <w:sz w:val="28"/>
          <w:szCs w:val="28"/>
        </w:rPr>
        <w:lastRenderedPageBreak/>
        <w:t>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lastRenderedPageBreak/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</w:t>
      </w:r>
      <w:r>
        <w:rPr>
          <w:rFonts w:ascii="Times New Roman" w:hAnsi="Times New Roman"/>
          <w:sz w:val="28"/>
          <w:szCs w:val="28"/>
        </w:rPr>
        <w:lastRenderedPageBreak/>
        <w:t>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 допустимые концентрации вредных веществ в атмосферном воздухе на территории населенного пункта принимаются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7E6A5D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8B" w:rsidRDefault="00B8638B" w:rsidP="005C0494">
      <w:pPr>
        <w:spacing w:after="0" w:line="240" w:lineRule="auto"/>
      </w:pPr>
      <w:r>
        <w:separator/>
      </w:r>
    </w:p>
  </w:endnote>
  <w:endnote w:type="continuationSeparator" w:id="0">
    <w:p w:rsidR="00B8638B" w:rsidRDefault="00B8638B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C3" w:rsidRDefault="003962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3B5">
      <w:rPr>
        <w:noProof/>
      </w:rPr>
      <w:t>4</w:t>
    </w:r>
    <w:r>
      <w:rPr>
        <w:noProof/>
      </w:rPr>
      <w:fldChar w:fldCharType="end"/>
    </w:r>
  </w:p>
  <w:p w:rsidR="00E547C3" w:rsidRDefault="00E547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8B" w:rsidRDefault="00B8638B" w:rsidP="005C0494">
      <w:pPr>
        <w:spacing w:after="0" w:line="240" w:lineRule="auto"/>
      </w:pPr>
      <w:r>
        <w:separator/>
      </w:r>
    </w:p>
  </w:footnote>
  <w:footnote w:type="continuationSeparator" w:id="0">
    <w:p w:rsidR="00B8638B" w:rsidRDefault="00B8638B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2B74"/>
    <w:rsid w:val="001E49FC"/>
    <w:rsid w:val="001F4F2D"/>
    <w:rsid w:val="00202E11"/>
    <w:rsid w:val="0020594D"/>
    <w:rsid w:val="00205A21"/>
    <w:rsid w:val="002066B8"/>
    <w:rsid w:val="00207165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75B56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96204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13FC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63B5"/>
    <w:rsid w:val="0051731B"/>
    <w:rsid w:val="005355A8"/>
    <w:rsid w:val="00537579"/>
    <w:rsid w:val="005476E9"/>
    <w:rsid w:val="00565B67"/>
    <w:rsid w:val="0058091B"/>
    <w:rsid w:val="0058393D"/>
    <w:rsid w:val="00585CEB"/>
    <w:rsid w:val="00594703"/>
    <w:rsid w:val="00597E66"/>
    <w:rsid w:val="005A05EF"/>
    <w:rsid w:val="005A1A84"/>
    <w:rsid w:val="005A2799"/>
    <w:rsid w:val="005A5994"/>
    <w:rsid w:val="005C0494"/>
    <w:rsid w:val="005C3523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3D35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D6587"/>
    <w:rsid w:val="007E47C8"/>
    <w:rsid w:val="007E48C6"/>
    <w:rsid w:val="007E6A5D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97F5C"/>
    <w:rsid w:val="008A3672"/>
    <w:rsid w:val="008A3BC4"/>
    <w:rsid w:val="008A4AE8"/>
    <w:rsid w:val="008A5893"/>
    <w:rsid w:val="008B3CB8"/>
    <w:rsid w:val="008B511A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48C0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3E48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8638B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3059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47C3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4795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47914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5F9987-EB83-4B7D-9572-46A53CF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E6A5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6A5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CAB1-574E-46AC-BCD2-64576A8C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52</Pages>
  <Words>16950</Words>
  <Characters>96619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39</cp:revision>
  <cp:lastPrinted>2017-02-07T12:58:00Z</cp:lastPrinted>
  <dcterms:created xsi:type="dcterms:W3CDTF">2016-05-14T19:16:00Z</dcterms:created>
  <dcterms:modified xsi:type="dcterms:W3CDTF">2017-02-08T04:30:00Z</dcterms:modified>
</cp:coreProperties>
</file>